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C6075" w:rsidRDefault="00DC6075">
      <w:pPr>
        <w:pStyle w:val="1"/>
      </w:pPr>
      <w:r>
        <w:fldChar w:fldCharType="begin"/>
      </w:r>
      <w:r>
        <w:instrText>HYPERLINK "http://ivo.garant.ru/document/redirect/71375360/0"</w:instrText>
      </w:r>
      <w:r>
        <w:fldChar w:fldCharType="separate"/>
      </w:r>
      <w:r>
        <w:rPr>
          <w:rStyle w:val="a4"/>
          <w:rFonts w:cs="Times New Roman CYR"/>
          <w:b w:val="0"/>
          <w:bCs w:val="0"/>
        </w:rPr>
        <w:t>Приказ Министерства образования и науки РФ от 18 марта 2016 г. N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 изменениями и дополнениями)</w:t>
      </w:r>
      <w:r>
        <w:fldChar w:fldCharType="end"/>
      </w:r>
    </w:p>
    <w:p w:rsidR="00DC6075" w:rsidRDefault="00DC6075">
      <w:pPr>
        <w:pStyle w:val="ab"/>
      </w:pPr>
      <w:r>
        <w:t>С изменениями и дополнениями от:</w:t>
      </w:r>
    </w:p>
    <w:p w:rsidR="00DC6075" w:rsidRDefault="00DC6075">
      <w:pPr>
        <w:pStyle w:val="a9"/>
        <w:rPr>
          <w:shd w:val="clear" w:color="auto" w:fill="EAEFED"/>
        </w:rPr>
      </w:pPr>
      <w:r>
        <w:t xml:space="preserve"> </w:t>
      </w:r>
      <w:r>
        <w:rPr>
          <w:shd w:val="clear" w:color="auto" w:fill="EAEFED"/>
        </w:rPr>
        <w:t>27 марта 2020 г.</w:t>
      </w:r>
    </w:p>
    <w:p w:rsidR="00DC6075" w:rsidRDefault="00DC6075">
      <w:pPr>
        <w:pStyle w:val="a6"/>
        <w:rPr>
          <w:color w:val="000000"/>
          <w:sz w:val="16"/>
          <w:szCs w:val="16"/>
          <w:shd w:val="clear" w:color="auto" w:fill="F0F0F0"/>
        </w:rPr>
      </w:pPr>
      <w:r>
        <w:rPr>
          <w:color w:val="000000"/>
          <w:sz w:val="16"/>
          <w:szCs w:val="16"/>
          <w:shd w:val="clear" w:color="auto" w:fill="F0F0F0"/>
        </w:rPr>
        <w:t>ГАРАНТ:</w:t>
      </w:r>
    </w:p>
    <w:p w:rsidR="00DC6075" w:rsidRDefault="00DC6075">
      <w:pPr>
        <w:pStyle w:val="a6"/>
        <w:rPr>
          <w:shd w:val="clear" w:color="auto" w:fill="F0F0F0"/>
        </w:rPr>
      </w:pPr>
      <w:r>
        <w:t xml:space="preserve"> </w:t>
      </w:r>
      <w:r>
        <w:rPr>
          <w:shd w:val="clear" w:color="auto" w:fill="F0F0F0"/>
        </w:rPr>
        <w:t xml:space="preserve">Настоящий документ включен в </w:t>
      </w:r>
      <w:hyperlink r:id="rId7"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8"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DC6075" w:rsidRDefault="00DC6075">
      <w:r>
        <w:t xml:space="preserve">В соответствии с </w:t>
      </w:r>
      <w:hyperlink r:id="rId9" w:history="1">
        <w:r>
          <w:rPr>
            <w:rStyle w:val="a4"/>
            <w:rFonts w:cs="Times New Roman CYR"/>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10" w:history="1">
        <w:r>
          <w:rPr>
            <w:rStyle w:val="a4"/>
            <w:rFonts w:cs="Times New Roman CYR"/>
          </w:rPr>
          <w:t>http://www.pravo.gov.ru</w:t>
        </w:r>
      </w:hyperlink>
      <w:r>
        <w:t xml:space="preserve">, 2 марта 2016 г.) и </w:t>
      </w:r>
      <w:hyperlink r:id="rId11" w:history="1">
        <w:r>
          <w:rPr>
            <w:rStyle w:val="a4"/>
            <w:rFonts w:cs="Times New Roman CYR"/>
          </w:rPr>
          <w:t>подпунктом 5.2.36</w:t>
        </w:r>
      </w:hyperlink>
      <w:r>
        <w:t xml:space="preserve"> Положения о Министерстве образования и науки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приказываю:</w:t>
      </w:r>
    </w:p>
    <w:p w:rsidR="00DC6075" w:rsidRDefault="00DC6075">
      <w:r>
        <w:t xml:space="preserve">Утвердить прилагаемый </w:t>
      </w:r>
      <w:hyperlink w:anchor="sub_1000" w:history="1">
        <w:r>
          <w:rPr>
            <w:rStyle w:val="a4"/>
            <w:rFonts w:cs="Times New Roman CYR"/>
          </w:rPr>
          <w:t>Порядок</w:t>
        </w:r>
      </w:hyperlink>
      <w:r>
        <w:t xml:space="preserve">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DC6075" w:rsidRDefault="00DC6075"/>
    <w:tbl>
      <w:tblPr>
        <w:tblW w:w="5000" w:type="pct"/>
        <w:tblInd w:w="108" w:type="dxa"/>
        <w:tblLook w:val="0000" w:firstRow="0" w:lastRow="0" w:firstColumn="0" w:lastColumn="0" w:noHBand="0" w:noVBand="0"/>
      </w:tblPr>
      <w:tblGrid>
        <w:gridCol w:w="7010"/>
        <w:gridCol w:w="3506"/>
      </w:tblGrid>
      <w:tr w:rsidR="00DC6075">
        <w:tblPrEx>
          <w:tblCellMar>
            <w:top w:w="0" w:type="dxa"/>
            <w:bottom w:w="0" w:type="dxa"/>
          </w:tblCellMar>
        </w:tblPrEx>
        <w:tc>
          <w:tcPr>
            <w:tcW w:w="3302" w:type="pct"/>
            <w:tcBorders>
              <w:top w:val="nil"/>
              <w:left w:val="nil"/>
              <w:bottom w:val="nil"/>
              <w:right w:val="nil"/>
            </w:tcBorders>
          </w:tcPr>
          <w:p w:rsidR="00DC6075" w:rsidRDefault="00DC6075">
            <w:pPr>
              <w:pStyle w:val="ac"/>
            </w:pPr>
            <w:r>
              <w:t>Министр</w:t>
            </w:r>
          </w:p>
        </w:tc>
        <w:tc>
          <w:tcPr>
            <w:tcW w:w="1651" w:type="pct"/>
            <w:tcBorders>
              <w:top w:val="nil"/>
              <w:left w:val="nil"/>
              <w:bottom w:val="nil"/>
              <w:right w:val="nil"/>
            </w:tcBorders>
          </w:tcPr>
          <w:p w:rsidR="00DC6075" w:rsidRDefault="00DC6075">
            <w:pPr>
              <w:pStyle w:val="aa"/>
              <w:jc w:val="right"/>
            </w:pPr>
            <w:r>
              <w:t>Д.В. Ливанов</w:t>
            </w:r>
          </w:p>
        </w:tc>
      </w:tr>
    </w:tbl>
    <w:p w:rsidR="00DC6075" w:rsidRDefault="00DC6075"/>
    <w:p w:rsidR="00DC6075" w:rsidRDefault="00DC6075">
      <w:pPr>
        <w:pStyle w:val="ac"/>
      </w:pPr>
      <w:r>
        <w:t>Зарегистрировано в Минюсте РФ 11 апреля 2016 г.</w:t>
      </w:r>
    </w:p>
    <w:p w:rsidR="00DC6075" w:rsidRDefault="00DC6075">
      <w:pPr>
        <w:pStyle w:val="ac"/>
      </w:pPr>
      <w:r>
        <w:t>Регистрационный N 41754</w:t>
      </w:r>
    </w:p>
    <w:p w:rsidR="00DC6075" w:rsidRDefault="00DC6075"/>
    <w:p w:rsidR="00DC6075" w:rsidRDefault="00DC6075">
      <w:pPr>
        <w:ind w:firstLine="698"/>
        <w:jc w:val="right"/>
      </w:pPr>
      <w:bookmarkStart w:id="1" w:name="sub_1000"/>
      <w:r>
        <w:rPr>
          <w:rStyle w:val="a3"/>
          <w:bCs/>
        </w:rPr>
        <w:t>Приложение</w:t>
      </w:r>
    </w:p>
    <w:bookmarkEnd w:id="1"/>
    <w:p w:rsidR="00DC6075" w:rsidRDefault="00DC6075"/>
    <w:p w:rsidR="00DC6075" w:rsidRDefault="00DC6075">
      <w:pPr>
        <w:pStyle w:val="1"/>
      </w:pPr>
      <w:r>
        <w:t>Порядок</w:t>
      </w:r>
      <w:r>
        <w:br/>
        <w:t>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18 марта 2016 г. N 227)</w:t>
      </w:r>
    </w:p>
    <w:p w:rsidR="00DC6075" w:rsidRDefault="00DC6075">
      <w:pPr>
        <w:pStyle w:val="ab"/>
      </w:pPr>
      <w:r>
        <w:t>С изменениями и дополнениями от:</w:t>
      </w:r>
    </w:p>
    <w:p w:rsidR="00DC6075" w:rsidRDefault="00DC6075">
      <w:pPr>
        <w:pStyle w:val="a9"/>
        <w:rPr>
          <w:shd w:val="clear" w:color="auto" w:fill="EAEFED"/>
        </w:rPr>
      </w:pPr>
      <w:r>
        <w:t xml:space="preserve"> </w:t>
      </w:r>
      <w:r>
        <w:rPr>
          <w:shd w:val="clear" w:color="auto" w:fill="EAEFED"/>
        </w:rPr>
        <w:t>27 марта 2020 г.</w:t>
      </w:r>
    </w:p>
    <w:p w:rsidR="00DC6075" w:rsidRDefault="00DC6075"/>
    <w:p w:rsidR="00DC6075" w:rsidRDefault="00DC6075">
      <w:pPr>
        <w:pStyle w:val="1"/>
      </w:pPr>
      <w:bookmarkStart w:id="2" w:name="sub_100"/>
      <w:r>
        <w:t>I. Общие положения</w:t>
      </w:r>
    </w:p>
    <w:bookmarkEnd w:id="2"/>
    <w:p w:rsidR="00DC6075" w:rsidRDefault="00DC6075"/>
    <w:p w:rsidR="00DC6075" w:rsidRDefault="00DC6075">
      <w:bookmarkStart w:id="3" w:name="sub_1"/>
      <w:r>
        <w:t xml:space="preserve">1. 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w:t>
      </w:r>
      <w:r>
        <w:lastRenderedPageBreak/>
        <w:t>аспирантуре (адъюнктуре), программам ординатуры, программам ассистентуры-стажировки устанавливает процедуру организации и проведения организациями, осуществляющими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организации, образовательные программы), государственной итоговой аттестации аспирантов (адъюнктов), ординаторов, ассистентов-стажеров (далее - обучающиеся, выпускники), завершающей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обучающихся из числа лиц с ограниченными возможностями здоровья.</w:t>
      </w:r>
    </w:p>
    <w:p w:rsidR="00DC6075" w:rsidRDefault="00DC6075">
      <w:bookmarkStart w:id="4" w:name="sub_2"/>
      <w:bookmarkEnd w:id="3"/>
      <w:r>
        <w:t xml:space="preserve">2.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hyperlink r:id="rId13" w:history="1">
        <w:r>
          <w:rPr>
            <w:rStyle w:val="a4"/>
            <w:rFonts w:cs="Times New Roman CYR"/>
          </w:rPr>
          <w:t>федерального государственного образовательного стандарта</w:t>
        </w:r>
      </w:hyperlink>
      <w:r>
        <w:t xml:space="preserve"> или образовательного стандарта</w:t>
      </w:r>
      <w:hyperlink w:anchor="sub_1001" w:history="1">
        <w:r>
          <w:rPr>
            <w:rStyle w:val="a4"/>
            <w:rFonts w:cs="Times New Roman CYR"/>
          </w:rPr>
          <w:t>*(1)</w:t>
        </w:r>
      </w:hyperlink>
      <w:r>
        <w:t xml:space="preserve"> (далее вместе - стандарт).</w:t>
      </w:r>
    </w:p>
    <w:p w:rsidR="00DC6075" w:rsidRDefault="00DC6075">
      <w:bookmarkStart w:id="5" w:name="sub_3"/>
      <w:bookmarkEnd w:id="4"/>
      <w: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hyperlink w:anchor="sub_1002" w:history="1">
        <w:r>
          <w:rPr>
            <w:rStyle w:val="a4"/>
            <w:rFonts w:cs="Times New Roman CYR"/>
          </w:rPr>
          <w:t>*(2)</w:t>
        </w:r>
      </w:hyperlink>
      <w:r>
        <w:t>.</w:t>
      </w:r>
    </w:p>
    <w:p w:rsidR="00DC6075" w:rsidRDefault="00DC6075">
      <w:bookmarkStart w:id="6" w:name="sub_4"/>
      <w:bookmarkEnd w:id="5"/>
      <w:r>
        <w:t>4. Обеспечение проведения государственной итоговой аттестации по образовательным программам осуществляется организациями</w:t>
      </w:r>
      <w:hyperlink w:anchor="sub_1003" w:history="1">
        <w:r>
          <w:rPr>
            <w:rStyle w:val="a4"/>
            <w:rFonts w:cs="Times New Roman CYR"/>
          </w:rPr>
          <w:t>*(3)</w:t>
        </w:r>
      </w:hyperlink>
      <w:r>
        <w:t>.</w:t>
      </w:r>
    </w:p>
    <w:p w:rsidR="00DC6075" w:rsidRDefault="00DC6075">
      <w:bookmarkStart w:id="7" w:name="sub_5"/>
      <w:bookmarkEnd w:id="6"/>
      <w:r>
        <w:t>5.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w:t>
      </w:r>
    </w:p>
    <w:p w:rsidR="00DC6075" w:rsidRDefault="00DC6075">
      <w:bookmarkStart w:id="8" w:name="sub_6"/>
      <w:bookmarkEnd w:id="7"/>
      <w:r>
        <w:t>6. Лица,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 вправе пройти экстерном государственную итоговую аттестацию в организации по имеющей государственную аккредитацию образовательной программе, в соответствии с настоящим Порядком</w:t>
      </w:r>
      <w:hyperlink w:anchor="sub_1004" w:history="1">
        <w:r>
          <w:rPr>
            <w:rStyle w:val="a4"/>
            <w:rFonts w:cs="Times New Roman CYR"/>
          </w:rPr>
          <w:t>*(4)</w:t>
        </w:r>
      </w:hyperlink>
      <w:r>
        <w:t>.</w:t>
      </w:r>
    </w:p>
    <w:p w:rsidR="00DC6075" w:rsidRDefault="00DC6075">
      <w:bookmarkStart w:id="9" w:name="sub_7"/>
      <w:bookmarkEnd w:id="8"/>
      <w:r>
        <w:t xml:space="preserve">7. Государственная итоговая аттестация по образовательным программам, содержащим сведения, составляющие государственную тайну, проводится с соблюдением требований, предусмотренных </w:t>
      </w:r>
      <w:hyperlink r:id="rId14" w:history="1">
        <w:r>
          <w:rPr>
            <w:rStyle w:val="a4"/>
            <w:rFonts w:cs="Times New Roman CYR"/>
          </w:rPr>
          <w:t>законодательством</w:t>
        </w:r>
      </w:hyperlink>
      <w:r>
        <w:t xml:space="preserve"> Российской Федерации о государственной тайне.</w:t>
      </w:r>
    </w:p>
    <w:p w:rsidR="00DC6075" w:rsidRDefault="00DC6075">
      <w:bookmarkStart w:id="10" w:name="sub_8"/>
      <w:bookmarkEnd w:id="9"/>
      <w:r>
        <w:t>8. Не допускается взимание платы с обучающихся за прохождение государственной итоговой аттестации</w:t>
      </w:r>
      <w:hyperlink w:anchor="sub_1005" w:history="1">
        <w:r>
          <w:rPr>
            <w:rStyle w:val="a4"/>
            <w:rFonts w:cs="Times New Roman CYR"/>
          </w:rPr>
          <w:t>*(5)</w:t>
        </w:r>
      </w:hyperlink>
      <w:r>
        <w:t>.</w:t>
      </w:r>
    </w:p>
    <w:p w:rsidR="00DC6075" w:rsidRDefault="00DC6075">
      <w:bookmarkStart w:id="11" w:name="sub_9"/>
      <w:bookmarkEnd w:id="10"/>
      <w:r>
        <w:t>9. Государственная итоговая аттестация обучающихся в организациях проводится в форме:</w:t>
      </w:r>
    </w:p>
    <w:bookmarkEnd w:id="11"/>
    <w:p w:rsidR="00DC6075" w:rsidRDefault="00DC6075">
      <w:r>
        <w:t>государственного экзамена;</w:t>
      </w:r>
    </w:p>
    <w:p w:rsidR="00DC6075" w:rsidRDefault="00DC6075">
      <w:r>
        <w:t>защиты выпускной квалификационной работы;</w:t>
      </w:r>
    </w:p>
    <w:p w:rsidR="00DC6075" w:rsidRDefault="00DC6075">
      <w:r>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p w:rsidR="00DC6075" w:rsidRDefault="00DC6075">
      <w:r>
        <w:t>Конкретные формы проведения государственной итоговой аттестации устанавливаются организациями с учетом требований, установленных стандартом.</w:t>
      </w:r>
    </w:p>
    <w:p w:rsidR="00DC6075" w:rsidRDefault="00DC6075">
      <w:r>
        <w:t>Государственные аттестационные испытания проводятся устно или письменно.</w:t>
      </w:r>
    </w:p>
    <w:p w:rsidR="00DC6075" w:rsidRDefault="00DC6075">
      <w:bookmarkStart w:id="12" w:name="sub_10"/>
      <w:r>
        <w:t>10.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p w:rsidR="00DC6075" w:rsidRDefault="00DC6075">
      <w:bookmarkStart w:id="13" w:name="sub_11"/>
      <w:bookmarkEnd w:id="12"/>
      <w:r>
        <w:t xml:space="preserve">11.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w:t>
      </w:r>
      <w:r>
        <w:lastRenderedPageBreak/>
        <w:t>выпускника к самостоятельной профессиональной деятельности.</w:t>
      </w:r>
    </w:p>
    <w:p w:rsidR="00DC6075" w:rsidRDefault="00DC6075">
      <w:bookmarkStart w:id="14" w:name="sub_12"/>
      <w:bookmarkEnd w:id="13"/>
      <w:r>
        <w:t>12. Вид выпускной квалификационной работы устанавливается организацией в соответствии со стандартом.</w:t>
      </w:r>
    </w:p>
    <w:bookmarkEnd w:id="14"/>
    <w:p w:rsidR="00DC6075" w:rsidRDefault="00DC6075">
      <w:r>
        <w:t>Требования к выпускной квалификационной работе, порядок ее выполнения и критерии ее оценки устанавливаются образовательной организацией самостоятельно.</w:t>
      </w:r>
    </w:p>
    <w:p w:rsidR="00DC6075" w:rsidRDefault="00DC6075">
      <w:bookmarkStart w:id="15" w:name="sub_13"/>
      <w:r>
        <w:t>13. Требования к научному докладу, порядок его подготовки и представления и критерии его оценки устанавливаются образовательной организацией самостоятельно.</w:t>
      </w:r>
    </w:p>
    <w:p w:rsidR="00DC6075" w:rsidRDefault="00DC6075">
      <w:bookmarkStart w:id="16" w:name="sub_14"/>
      <w:bookmarkEnd w:id="15"/>
      <w:r>
        <w:t>14. Обучающимся и лицам, привлекаемым к государственной итоговой аттестации, во время проведения государственных аттестационных испытаний запрещается иметь при себе и использовать средства связи.</w:t>
      </w:r>
    </w:p>
    <w:p w:rsidR="00DC6075" w:rsidRDefault="00DC6075">
      <w:bookmarkStart w:id="17" w:name="sub_15"/>
      <w:bookmarkEnd w:id="16"/>
      <w:r>
        <w:t>15. Объем (в зачетных единицах) государственной итоговой аттестации, ее структура и содержание устанавливаются организацией в соответствии с требованиями, установленными стандартом.</w:t>
      </w:r>
    </w:p>
    <w:p w:rsidR="00DC6075" w:rsidRDefault="00DC6075">
      <w:bookmarkStart w:id="18" w:name="sub_16"/>
      <w:bookmarkEnd w:id="17"/>
      <w:r>
        <w:t>16. Срок проведения государственной итоговой аттестации устанавливается организацией самостоятельно.</w:t>
      </w:r>
    </w:p>
    <w:p w:rsidR="00DC6075" w:rsidRDefault="00DC6075">
      <w:bookmarkStart w:id="19" w:name="sub_17"/>
      <w:bookmarkEnd w:id="18"/>
      <w:r>
        <w:t>17.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DC6075" w:rsidRDefault="00DC6075">
      <w:pPr>
        <w:pStyle w:val="a6"/>
        <w:rPr>
          <w:color w:val="000000"/>
          <w:sz w:val="16"/>
          <w:szCs w:val="16"/>
          <w:shd w:val="clear" w:color="auto" w:fill="F0F0F0"/>
        </w:rPr>
      </w:pPr>
      <w:bookmarkStart w:id="20" w:name="sub_18"/>
      <w:bookmarkEnd w:id="19"/>
      <w:r>
        <w:rPr>
          <w:color w:val="000000"/>
          <w:sz w:val="16"/>
          <w:szCs w:val="16"/>
          <w:shd w:val="clear" w:color="auto" w:fill="F0F0F0"/>
        </w:rPr>
        <w:t>Информация об изменениях:</w:t>
      </w:r>
    </w:p>
    <w:bookmarkEnd w:id="20"/>
    <w:p w:rsidR="00DC6075" w:rsidRDefault="00DC6075">
      <w:pPr>
        <w:pStyle w:val="a7"/>
        <w:rPr>
          <w:shd w:val="clear" w:color="auto" w:fill="F0F0F0"/>
        </w:rPr>
      </w:pPr>
      <w:r>
        <w:t xml:space="preserve"> </w:t>
      </w:r>
      <w:r>
        <w:rPr>
          <w:shd w:val="clear" w:color="auto" w:fill="F0F0F0"/>
        </w:rPr>
        <w:t xml:space="preserve">Пункт 18 изменен с 17 апреля 2020 г. - </w:t>
      </w:r>
      <w:hyperlink r:id="rId15" w:history="1">
        <w:r>
          <w:rPr>
            <w:rStyle w:val="a4"/>
            <w:rFonts w:cs="Times New Roman CYR"/>
            <w:shd w:val="clear" w:color="auto" w:fill="F0F0F0"/>
          </w:rPr>
          <w:t>Приказ</w:t>
        </w:r>
      </w:hyperlink>
      <w:r>
        <w:rPr>
          <w:shd w:val="clear" w:color="auto" w:fill="F0F0F0"/>
        </w:rPr>
        <w:t xml:space="preserve"> Минобрнауки России от 27 марта 2020 г. N 490</w:t>
      </w:r>
    </w:p>
    <w:p w:rsidR="00DC6075" w:rsidRDefault="00DC6075">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DC6075" w:rsidRDefault="00DC6075">
      <w:r>
        <w:t>18.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w:t>
      </w:r>
    </w:p>
    <w:p w:rsidR="00DC6075" w:rsidRDefault="00DC6075">
      <w:bookmarkStart w:id="21" w:name="sub_1802"/>
      <w:r>
        <w:t>образца, установленного Министерством науки и высшего образования Российской Федерации</w:t>
      </w:r>
      <w:hyperlink w:anchor="sub_1006" w:history="1">
        <w:r>
          <w:rPr>
            <w:rStyle w:val="a4"/>
            <w:rFonts w:cs="Times New Roman CYR"/>
          </w:rPr>
          <w:t>*(6)</w:t>
        </w:r>
      </w:hyperlink>
      <w:r>
        <w:t>, - по программам подготовки научно-педагогических кадров в аспирантуре (адъюнктуре);</w:t>
      </w:r>
    </w:p>
    <w:bookmarkEnd w:id="21"/>
    <w:p w:rsidR="00DC6075" w:rsidRDefault="00DC6075">
      <w:r>
        <w:fldChar w:fldCharType="begin"/>
      </w:r>
      <w:r>
        <w:instrText>HYPERLINK "http://ivo.garant.ru/document/redirect/70516066/1000"</w:instrText>
      </w:r>
      <w:r>
        <w:fldChar w:fldCharType="separate"/>
      </w:r>
      <w:r>
        <w:rPr>
          <w:rStyle w:val="a4"/>
          <w:rFonts w:cs="Times New Roman CYR"/>
        </w:rPr>
        <w:t>образца</w:t>
      </w:r>
      <w:r>
        <w:fldChar w:fldCharType="end"/>
      </w:r>
      <w:r>
        <w:t>, установленного Министерством здравоохранения Российской Федерации</w:t>
      </w:r>
      <w:hyperlink w:anchor="sub_1006" w:history="1">
        <w:r>
          <w:rPr>
            <w:rStyle w:val="a4"/>
            <w:rFonts w:cs="Times New Roman CYR"/>
          </w:rPr>
          <w:t>*(6)</w:t>
        </w:r>
      </w:hyperlink>
      <w:r>
        <w:t>, - по программам ординатуры;</w:t>
      </w:r>
    </w:p>
    <w:p w:rsidR="00DC6075" w:rsidRDefault="00DC6075">
      <w:hyperlink r:id="rId17" w:history="1">
        <w:r>
          <w:rPr>
            <w:rStyle w:val="a4"/>
            <w:rFonts w:cs="Times New Roman CYR"/>
          </w:rPr>
          <w:t>образца</w:t>
        </w:r>
      </w:hyperlink>
      <w:r>
        <w:t>, установленного Министерством культуры Российской Федерации</w:t>
      </w:r>
      <w:hyperlink w:anchor="sub_1006" w:history="1">
        <w:r>
          <w:rPr>
            <w:rStyle w:val="a4"/>
            <w:rFonts w:cs="Times New Roman CYR"/>
          </w:rPr>
          <w:t>*(6)</w:t>
        </w:r>
      </w:hyperlink>
      <w:r>
        <w:t>, - по программам ассистентуры-стажировки.</w:t>
      </w:r>
    </w:p>
    <w:p w:rsidR="00DC6075" w:rsidRDefault="00DC6075">
      <w:r>
        <w:t xml:space="preserve">Выпускникам, успешно освоившим образовательные программы подготовки научно-педагогических кадров в аспирантуре (адъюнктуре), также выдается </w:t>
      </w:r>
      <w:hyperlink r:id="rId18" w:history="1">
        <w:r>
          <w:rPr>
            <w:rStyle w:val="a4"/>
            <w:rFonts w:cs="Times New Roman CYR"/>
          </w:rPr>
          <w:t>заключение</w:t>
        </w:r>
      </w:hyperlink>
      <w:r>
        <w:t xml:space="preserve"> в соответствии с </w:t>
      </w:r>
      <w:hyperlink r:id="rId19" w:history="1">
        <w:r>
          <w:rPr>
            <w:rStyle w:val="a4"/>
            <w:rFonts w:cs="Times New Roman CYR"/>
          </w:rPr>
          <w:t>пунктом 16</w:t>
        </w:r>
      </w:hyperlink>
      <w:r>
        <w:t xml:space="preserve"> Положения о присуждении учёных степеней, утвержденного </w:t>
      </w:r>
      <w:hyperlink r:id="rId20" w:history="1">
        <w:r>
          <w:rPr>
            <w:rStyle w:val="a4"/>
            <w:rFonts w:cs="Times New Roman CYR"/>
          </w:rPr>
          <w:t>постановлением</w:t>
        </w:r>
      </w:hyperlink>
      <w:r>
        <w:t xml:space="preserve"> Правительства Российской Федерации от 24 сентября 2013 г. N 842 (Собрание законодательства Российской Федерации, 2013, N 40, ст. 5074; 2014, N 32, ст. 4496).</w:t>
      </w:r>
    </w:p>
    <w:p w:rsidR="00DC6075" w:rsidRDefault="00DC6075">
      <w:bookmarkStart w:id="22" w:name="sub_19"/>
      <w:r>
        <w:t xml:space="preserve">19. По решению коллегиального органа управления организации, а также в случаях, предусмотренных </w:t>
      </w:r>
      <w:hyperlink r:id="rId21" w:history="1">
        <w:r>
          <w:rPr>
            <w:rStyle w:val="a4"/>
            <w:rFonts w:cs="Times New Roman CYR"/>
          </w:rPr>
          <w:t>Федеральным законом</w:t>
        </w:r>
      </w:hyperlink>
      <w:r>
        <w:t xml:space="preserve"> от 10 ноября 2009 г. N 259-ФЗ "О Московском государственном университете имени М.В. Ломоносова и Санкт-Петербургском государственном университете"</w:t>
      </w:r>
      <w:hyperlink w:anchor="sub_1007" w:history="1">
        <w:r>
          <w:rPr>
            <w:rStyle w:val="a4"/>
            <w:rFonts w:cs="Times New Roman CYR"/>
          </w:rPr>
          <w:t>*(7)</w:t>
        </w:r>
      </w:hyperlink>
      <w: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организациями</w:t>
      </w:r>
      <w:hyperlink w:anchor="sub_1008" w:history="1">
        <w:r>
          <w:rPr>
            <w:rStyle w:val="a4"/>
            <w:rFonts w:cs="Times New Roman CYR"/>
          </w:rPr>
          <w:t>*(8)</w:t>
        </w:r>
      </w:hyperlink>
      <w:r>
        <w:t>.</w:t>
      </w:r>
    </w:p>
    <w:p w:rsidR="00DC6075" w:rsidRDefault="00DC6075">
      <w:pPr>
        <w:pStyle w:val="a6"/>
        <w:rPr>
          <w:color w:val="000000"/>
          <w:sz w:val="16"/>
          <w:szCs w:val="16"/>
          <w:shd w:val="clear" w:color="auto" w:fill="F0F0F0"/>
        </w:rPr>
      </w:pPr>
      <w:bookmarkStart w:id="23" w:name="sub_20"/>
      <w:bookmarkEnd w:id="22"/>
      <w:r>
        <w:rPr>
          <w:color w:val="000000"/>
          <w:sz w:val="16"/>
          <w:szCs w:val="16"/>
          <w:shd w:val="clear" w:color="auto" w:fill="F0F0F0"/>
        </w:rPr>
        <w:t>Информация об изменениях:</w:t>
      </w:r>
    </w:p>
    <w:bookmarkEnd w:id="23"/>
    <w:p w:rsidR="00DC6075" w:rsidRDefault="00DC6075">
      <w:pPr>
        <w:pStyle w:val="a7"/>
        <w:rPr>
          <w:shd w:val="clear" w:color="auto" w:fill="F0F0F0"/>
        </w:rPr>
      </w:pPr>
      <w:r>
        <w:t xml:space="preserve"> </w:t>
      </w:r>
      <w:r>
        <w:rPr>
          <w:shd w:val="clear" w:color="auto" w:fill="F0F0F0"/>
        </w:rPr>
        <w:t xml:space="preserve">Пункт 20 изменен с 17 апреля 2020 г. - </w:t>
      </w:r>
      <w:hyperlink r:id="rId22" w:history="1">
        <w:r>
          <w:rPr>
            <w:rStyle w:val="a4"/>
            <w:rFonts w:cs="Times New Roman CYR"/>
            <w:shd w:val="clear" w:color="auto" w:fill="F0F0F0"/>
          </w:rPr>
          <w:t>Приказ</w:t>
        </w:r>
      </w:hyperlink>
      <w:r>
        <w:rPr>
          <w:shd w:val="clear" w:color="auto" w:fill="F0F0F0"/>
        </w:rPr>
        <w:t xml:space="preserve"> Минобрнауки России от 27 марта 2020 г. N 490</w:t>
      </w:r>
    </w:p>
    <w:p w:rsidR="00DC6075" w:rsidRDefault="00DC6075">
      <w:pPr>
        <w:pStyle w:val="a7"/>
        <w:rPr>
          <w:shd w:val="clear" w:color="auto" w:fill="F0F0F0"/>
        </w:rPr>
      </w:pPr>
      <w:r>
        <w:t xml:space="preserve"> </w:t>
      </w:r>
      <w:hyperlink r:id="rId23" w:history="1">
        <w:r>
          <w:rPr>
            <w:rStyle w:val="a4"/>
            <w:rFonts w:cs="Times New Roman CYR"/>
            <w:shd w:val="clear" w:color="auto" w:fill="F0F0F0"/>
          </w:rPr>
          <w:t>См. предыдущую редакцию</w:t>
        </w:r>
      </w:hyperlink>
    </w:p>
    <w:p w:rsidR="00DC6075" w:rsidRDefault="00DC6075">
      <w:r>
        <w:t xml:space="preserve">20. Организации вправе применять электронное обучение, дистанционные образовательные технологии при проведении государственных аттестационных испытаний. Особенности проведения государственных аттестационных испытаний с применением электронного обучения, дистанционных образовательных технологий определяются локальными нормативными актами </w:t>
      </w:r>
      <w:r>
        <w:lastRenderedPageBreak/>
        <w:t>организации. При проведении государственных аттестационных испытаний с применением электронного обучения, дистанционных образовательных технологий организация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DC6075" w:rsidRDefault="00DC6075">
      <w:bookmarkStart w:id="24" w:name="sub_21"/>
      <w:r>
        <w:t>21. Для проведения государственной итоговой аттестации в организации создаются государственные экзаменационные комиссии, которые состоят из председателя, секретаря и членов комиссии.</w:t>
      </w:r>
    </w:p>
    <w:bookmarkEnd w:id="24"/>
    <w:p w:rsidR="00DC6075" w:rsidRDefault="00DC6075">
      <w:r>
        <w:t>Для проведения апелляций по результатам государственной итоговой аттестации в организации создаются апелляционные комиссии, которые состоят из председателя и членов комиссии.</w:t>
      </w:r>
    </w:p>
    <w:p w:rsidR="00DC6075" w:rsidRDefault="00DC6075">
      <w:r>
        <w:t>Государственная экзаменационная и апелляционная комиссии (далее вместе - комиссии) действуют в течение календарного года.</w:t>
      </w:r>
    </w:p>
    <w:p w:rsidR="00DC6075" w:rsidRDefault="00DC6075">
      <w:r>
        <w:t>Организация самостоятельно устанавливает регламенты работы комиссий.</w:t>
      </w:r>
    </w:p>
    <w:p w:rsidR="00DC6075" w:rsidRDefault="00DC6075">
      <w:bookmarkStart w:id="25" w:name="sub_22"/>
      <w:r>
        <w:t>22. Комиссии создаются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DC6075" w:rsidRDefault="00DC6075">
      <w:bookmarkStart w:id="26" w:name="sub_23"/>
      <w:bookmarkEnd w:id="25"/>
      <w:r>
        <w:t>23. Председатель государственной экзаменационной комиссии утверждается не позднее 31 декабря, предшествующего году проведения государственной итоговой аттестации:</w:t>
      </w:r>
    </w:p>
    <w:p w:rsidR="00DC6075" w:rsidRDefault="00DC6075">
      <w:bookmarkStart w:id="27" w:name="sub_231"/>
      <w:bookmarkEnd w:id="26"/>
      <w:r>
        <w:t>а) для организаций, имеющих право самостоятельно устанавливать образовательные стандарты, - распорядительным актом организации;</w:t>
      </w:r>
    </w:p>
    <w:p w:rsidR="00DC6075" w:rsidRDefault="00DC6075">
      <w:pPr>
        <w:pStyle w:val="a6"/>
        <w:rPr>
          <w:color w:val="000000"/>
          <w:sz w:val="16"/>
          <w:szCs w:val="16"/>
          <w:shd w:val="clear" w:color="auto" w:fill="F0F0F0"/>
        </w:rPr>
      </w:pPr>
      <w:bookmarkStart w:id="28" w:name="sub_2302"/>
      <w:bookmarkEnd w:id="27"/>
      <w:r>
        <w:rPr>
          <w:color w:val="000000"/>
          <w:sz w:val="16"/>
          <w:szCs w:val="16"/>
          <w:shd w:val="clear" w:color="auto" w:fill="F0F0F0"/>
        </w:rPr>
        <w:t>Информация об изменениях:</w:t>
      </w:r>
    </w:p>
    <w:bookmarkEnd w:id="28"/>
    <w:p w:rsidR="00DC6075" w:rsidRDefault="00DC6075">
      <w:pPr>
        <w:pStyle w:val="a7"/>
        <w:rPr>
          <w:shd w:val="clear" w:color="auto" w:fill="F0F0F0"/>
        </w:rPr>
      </w:pPr>
      <w:r>
        <w:t xml:space="preserve"> </w:t>
      </w:r>
      <w:r>
        <w:rPr>
          <w:shd w:val="clear" w:color="auto" w:fill="F0F0F0"/>
        </w:rPr>
        <w:t xml:space="preserve">Пункт 23 дополнен подпунктом "б" с 17 апреля 2020 г. - </w:t>
      </w:r>
      <w:hyperlink r:id="rId24" w:history="1">
        <w:r>
          <w:rPr>
            <w:rStyle w:val="a4"/>
            <w:rFonts w:cs="Times New Roman CYR"/>
            <w:shd w:val="clear" w:color="auto" w:fill="F0F0F0"/>
          </w:rPr>
          <w:t>Приказ</w:t>
        </w:r>
      </w:hyperlink>
      <w:r>
        <w:rPr>
          <w:shd w:val="clear" w:color="auto" w:fill="F0F0F0"/>
        </w:rPr>
        <w:t xml:space="preserve"> Минобрнауки России от 27 марта 2020 г. N 490</w:t>
      </w:r>
    </w:p>
    <w:p w:rsidR="00DC6075" w:rsidRDefault="00DC6075">
      <w:r>
        <w:t xml:space="preserve">б) для организаций, находящихся в ведении Правительства Российской Федерации, за исключением организаций из числа указанных в </w:t>
      </w:r>
      <w:hyperlink r:id="rId25" w:history="1">
        <w:r>
          <w:rPr>
            <w:rStyle w:val="a4"/>
            <w:rFonts w:cs="Times New Roman CYR"/>
          </w:rPr>
          <w:t>подпункте "а"</w:t>
        </w:r>
      </w:hyperlink>
      <w:r>
        <w:t xml:space="preserve"> настоящего пункта, - Министерством науки и высшего образования Российской Федерации;</w:t>
      </w:r>
    </w:p>
    <w:p w:rsidR="00DC6075" w:rsidRDefault="00DC6075">
      <w:pPr>
        <w:pStyle w:val="a6"/>
        <w:rPr>
          <w:color w:val="000000"/>
          <w:sz w:val="16"/>
          <w:szCs w:val="16"/>
          <w:shd w:val="clear" w:color="auto" w:fill="F0F0F0"/>
        </w:rPr>
      </w:pPr>
      <w:bookmarkStart w:id="29" w:name="sub_232"/>
      <w:r>
        <w:rPr>
          <w:color w:val="000000"/>
          <w:sz w:val="16"/>
          <w:szCs w:val="16"/>
          <w:shd w:val="clear" w:color="auto" w:fill="F0F0F0"/>
        </w:rPr>
        <w:t>Информация об изменениях:</w:t>
      </w:r>
    </w:p>
    <w:bookmarkEnd w:id="29"/>
    <w:p w:rsidR="00DC6075" w:rsidRDefault="00DC6075">
      <w:pPr>
        <w:pStyle w:val="a7"/>
        <w:rPr>
          <w:shd w:val="clear" w:color="auto" w:fill="F0F0F0"/>
        </w:rPr>
      </w:pPr>
      <w:r>
        <w:t xml:space="preserve"> </w:t>
      </w:r>
      <w:r>
        <w:rPr>
          <w:shd w:val="clear" w:color="auto" w:fill="F0F0F0"/>
        </w:rPr>
        <w:t xml:space="preserve">Нумерация подпункта изменена с 17 апреля 2020 г. - </w:t>
      </w:r>
      <w:hyperlink r:id="rId26" w:history="1">
        <w:r>
          <w:rPr>
            <w:rStyle w:val="a4"/>
            <w:rFonts w:cs="Times New Roman CYR"/>
            <w:shd w:val="clear" w:color="auto" w:fill="F0F0F0"/>
          </w:rPr>
          <w:t>Приказ</w:t>
        </w:r>
      </w:hyperlink>
      <w:r>
        <w:rPr>
          <w:shd w:val="clear" w:color="auto" w:fill="F0F0F0"/>
        </w:rPr>
        <w:t xml:space="preserve"> Минобрнауки России от 27 марта 2020 г. N 490</w:t>
      </w:r>
    </w:p>
    <w:p w:rsidR="00DC6075" w:rsidRDefault="00DC6075">
      <w:r>
        <w:t xml:space="preserve">в) для организаций, находящихся в ведении федеральных органов исполнительной власти, за исключением организаций из числа указанных в </w:t>
      </w:r>
      <w:hyperlink w:anchor="sub_231" w:history="1">
        <w:r>
          <w:rPr>
            <w:rStyle w:val="a4"/>
            <w:rFonts w:cs="Times New Roman CYR"/>
          </w:rPr>
          <w:t>подпункте "а"</w:t>
        </w:r>
      </w:hyperlink>
      <w:r>
        <w:t xml:space="preserve"> настоящего пункта, - учредителями организаций по представлению организаций;</w:t>
      </w:r>
    </w:p>
    <w:p w:rsidR="00DC6075" w:rsidRDefault="00DC6075">
      <w:pPr>
        <w:pStyle w:val="a6"/>
        <w:rPr>
          <w:color w:val="000000"/>
          <w:sz w:val="16"/>
          <w:szCs w:val="16"/>
          <w:shd w:val="clear" w:color="auto" w:fill="F0F0F0"/>
        </w:rPr>
      </w:pPr>
      <w:bookmarkStart w:id="30" w:name="sub_233"/>
      <w:r>
        <w:rPr>
          <w:color w:val="000000"/>
          <w:sz w:val="16"/>
          <w:szCs w:val="16"/>
          <w:shd w:val="clear" w:color="auto" w:fill="F0F0F0"/>
        </w:rPr>
        <w:t>Информация об изменениях:</w:t>
      </w:r>
    </w:p>
    <w:bookmarkEnd w:id="30"/>
    <w:p w:rsidR="00DC6075" w:rsidRDefault="00DC6075">
      <w:pPr>
        <w:pStyle w:val="a7"/>
        <w:rPr>
          <w:shd w:val="clear" w:color="auto" w:fill="F0F0F0"/>
        </w:rPr>
      </w:pPr>
      <w:r>
        <w:t xml:space="preserve"> </w:t>
      </w:r>
      <w:r>
        <w:rPr>
          <w:shd w:val="clear" w:color="auto" w:fill="F0F0F0"/>
        </w:rPr>
        <w:t xml:space="preserve">Подпункт "г" изменен с 17 апреля 2020 г. - </w:t>
      </w:r>
      <w:hyperlink r:id="rId27" w:history="1">
        <w:r>
          <w:rPr>
            <w:rStyle w:val="a4"/>
            <w:rFonts w:cs="Times New Roman CYR"/>
            <w:shd w:val="clear" w:color="auto" w:fill="F0F0F0"/>
          </w:rPr>
          <w:t>Приказ</w:t>
        </w:r>
      </w:hyperlink>
      <w:r>
        <w:rPr>
          <w:shd w:val="clear" w:color="auto" w:fill="F0F0F0"/>
        </w:rPr>
        <w:t xml:space="preserve"> Минобрнауки России от 27 марта 2020 г. N 490</w:t>
      </w:r>
    </w:p>
    <w:p w:rsidR="00DC6075" w:rsidRDefault="00DC6075">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DC6075" w:rsidRDefault="00DC6075">
      <w:r>
        <w:t>г)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p w:rsidR="00DC6075" w:rsidRDefault="00DC6075">
      <w:bookmarkStart w:id="31" w:name="sub_24"/>
      <w:r>
        <w:t>24. Организация утверждает составы комиссий не позднее чем за 1 месяц до даты начала государственной итоговой аттестации.</w:t>
      </w:r>
    </w:p>
    <w:p w:rsidR="00DC6075" w:rsidRDefault="00DC6075">
      <w:bookmarkStart w:id="32" w:name="sub_25"/>
      <w:bookmarkEnd w:id="31"/>
      <w:r>
        <w:t>25. Председатель государственной экзаменационной комиссии утверждается из числа лиц, не работающих в данной организации, и соответствующих следующим требованиям:</w:t>
      </w:r>
    </w:p>
    <w:bookmarkEnd w:id="32"/>
    <w:p w:rsidR="00DC6075" w:rsidRDefault="00DC6075">
      <w:r>
        <w:t>для проведения государственной итоговой аттестации обучающихся по программам подготовки научно-педагогических кадров в аспирантуре (адъюнктуре) - имеющих ученую степень доктора наук (в том числе ученую степень, полученную в иностранном государстве и признаваемую в Российской Федерации) по научной специальности, соответствующей направлению подготовки научно-педагогических кадров в аспирантуре (адъюнктуре);</w:t>
      </w:r>
    </w:p>
    <w:p w:rsidR="00DC6075" w:rsidRDefault="00DC6075">
      <w:r>
        <w:t xml:space="preserve">для проведения государственной итоговой аттестации по программам ординатуры - </w:t>
      </w:r>
      <w:r>
        <w:lastRenderedPageBreak/>
        <w:t>имеющих ученую степень доктора наук (в том числе ученую степень, полученную в иностранном государстве и признаваемую в Российской Федерации) и (или) ученое звание профессора соответствующей области профессиональной деятельности, либо представителей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C6075" w:rsidRDefault="00DC6075">
      <w:r>
        <w:t>для проведения государственной итоговой аттестации по программам ассистентуры - стажировки - являющихся высококвалифицированными специалистами в соответствующей профессиональной сфере, имеющими государственное почетное звание (Российской Федерации, СССР, РСФСР и иных республик, входивших в состав СССР) или являющихся лауреатами государственной премии в области культуры и искусства, а также имеющих ученое звание профессора (или занимающих должность профессора) соответствующей области профессиональной деятельности.</w:t>
      </w:r>
    </w:p>
    <w:p w:rsidR="00DC6075" w:rsidRDefault="00DC6075">
      <w:r>
        <w:t>Председателем апелляционной комиссии является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p w:rsidR="00DC6075" w:rsidRDefault="00DC6075">
      <w:bookmarkStart w:id="33" w:name="sub_26"/>
      <w:r>
        <w:t>26. Председатели комиссий организуют и контролируют деятельность комиссий, обеспечивают единство требований, предъявляемых к обучающимся при проведении государственной итоговой аттестации.</w:t>
      </w:r>
    </w:p>
    <w:p w:rsidR="00DC6075" w:rsidRDefault="00DC6075">
      <w:bookmarkStart w:id="34" w:name="sub_27"/>
      <w:bookmarkEnd w:id="33"/>
      <w:r>
        <w:t>27. Государственная экзаменационная комиссия состоит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bookmarkEnd w:id="34"/>
    <w:p w:rsidR="00DC6075" w:rsidRDefault="00DC6075">
      <w:r>
        <w:t>В состав апелляционной комиссии включаются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государственных экзаменационных комиссий.</w:t>
      </w:r>
    </w:p>
    <w:p w:rsidR="00DC6075" w:rsidRDefault="00DC6075">
      <w:bookmarkStart w:id="35" w:name="sub_28"/>
      <w:r>
        <w:t>28. На период проведения государственной итоговой аттестации для обеспечения работы государственной экзаменационной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государственной экзаменационной комиссии назначается ее секретарь. Секретарь государственной экзаменационной комиссии не является ее членом. Секретарь государственной экзаменационной комиссии ведет протоколы ее заседаний, представляет необходимые материалы в апелляционную комиссию.</w:t>
      </w:r>
    </w:p>
    <w:p w:rsidR="00DC6075" w:rsidRDefault="00DC6075">
      <w:bookmarkStart w:id="36" w:name="sub_29"/>
      <w:bookmarkEnd w:id="35"/>
      <w:r>
        <w:t>29. Основной формой деятельности комиссий являются заседания. Заседание комиссий правомочно, если в нем участвуют не менее двух третей состава соответствующей комиссии.</w:t>
      </w:r>
    </w:p>
    <w:bookmarkEnd w:id="36"/>
    <w:p w:rsidR="00DC6075" w:rsidRDefault="00DC6075">
      <w:r>
        <w:t>Заседания комиссий проводятся председателями комиссий.</w:t>
      </w:r>
    </w:p>
    <w:p w:rsidR="00DC6075" w:rsidRDefault="00DC6075">
      <w:r>
        <w:t>Решения комиссий принимаются простым большинством голосов лиц, входящих в состав комиссий и участвующих в заседании. При равном числе голосов председатель обладает правом решающего голоса.</w:t>
      </w:r>
    </w:p>
    <w:p w:rsidR="00DC6075" w:rsidRDefault="00DC6075">
      <w:bookmarkStart w:id="37" w:name="sub_30"/>
      <w:r>
        <w:t>30. Решения, принятые комиссиями, оформляются протоколами.</w:t>
      </w:r>
    </w:p>
    <w:bookmarkEnd w:id="37"/>
    <w:p w:rsidR="00DC6075" w:rsidRDefault="00DC6075">
      <w:r>
        <w:t xml:space="preserve">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w:t>
      </w:r>
      <w:r>
        <w:lastRenderedPageBreak/>
        <w:t>вопросов и характеристика ответов на них, мнения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DC6075" w:rsidRDefault="00DC6075">
      <w:r>
        <w:t>Протоколы заседаний комиссий подписываются председателем. Протокол заседания государственной экзаменационной комиссии также подписывается секретарем государственной экзаменационной комиссии.</w:t>
      </w:r>
    </w:p>
    <w:p w:rsidR="00DC6075" w:rsidRDefault="00DC6075">
      <w:r>
        <w:t>Протоколы заседаний комиссий сшиваются в книги и хранятся в архиве организации.</w:t>
      </w:r>
    </w:p>
    <w:p w:rsidR="00DC6075" w:rsidRDefault="00DC6075">
      <w:bookmarkStart w:id="38" w:name="sub_31"/>
      <w:r>
        <w:t>31. Программа государственной итоговой аттестации,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DC6075" w:rsidRDefault="00DC6075">
      <w:bookmarkStart w:id="39" w:name="sub_32"/>
      <w:bookmarkEnd w:id="38"/>
      <w:r>
        <w:t>32. Государственный экзамен проводится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bookmarkEnd w:id="39"/>
    <w:p w:rsidR="00DC6075" w:rsidRDefault="00DC6075">
      <w: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p w:rsidR="00DC6075" w:rsidRDefault="00DC6075">
      <w:bookmarkStart w:id="40" w:name="sub_33"/>
      <w:r>
        <w:t>33. Организация утверждает примерный перечень тем выпускных квалификационных работ, предлагаемых обучающимся (далее - перечень тем), и доводит его до сведения обучающихся в течение первого года обучения.</w:t>
      </w:r>
    </w:p>
    <w:bookmarkEnd w:id="40"/>
    <w:p w:rsidR="00DC6075" w:rsidRDefault="00DC6075">
      <w:r>
        <w:t>По письменному заявлению обучающегося (нескольких обучающихся, выполняющих выпускную квалификационную работу совместно) организация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C6075" w:rsidRDefault="00DC6075">
      <w: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(консультанты).</w:t>
      </w:r>
    </w:p>
    <w:p w:rsidR="00DC6075" w:rsidRDefault="00DC6075">
      <w:r>
        <w:t>Порядок получения отзывов и рецензий на выпускную квалификационную работу (либо ее часть, выполняемую письменно) устанавливается образовательной организацией самостоятельно.</w:t>
      </w:r>
    </w:p>
    <w:p w:rsidR="00DC6075" w:rsidRDefault="00DC6075">
      <w:bookmarkStart w:id="41" w:name="sub_34"/>
      <w:r>
        <w:t>34. Тексты выпускных квалификационных работ, выполненных письменно, и научных докладов, за исключением текстов выпускных квалификационных работ и научных докладов, содержащих сведения, составляющие государственную тайну, размещаются организацией в электронно-библиотечной системе организации и проверяются на объем заимствования. Порядок размещения текстов выпускных квалификационных работ и научных докладов в электронно-библиотечной системе организации, проверки на объем заимствования, в том числе содержательного, выявления неправомочных заимствований устанавливается организацией.</w:t>
      </w:r>
    </w:p>
    <w:bookmarkEnd w:id="41"/>
    <w:p w:rsidR="00DC6075" w:rsidRDefault="00DC6075">
      <w:r>
        <w:t xml:space="preserve">Доступ лиц к текстам выпускных квалификационных работ и научных докладов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w:t>
      </w:r>
      <w:r>
        <w:lastRenderedPageBreak/>
        <w:t>решением правообладателя.</w:t>
      </w:r>
    </w:p>
    <w:p w:rsidR="00DC6075" w:rsidRDefault="00DC6075">
      <w:bookmarkStart w:id="42" w:name="sub_35"/>
      <w:r>
        <w:t>35. Не позднее чем за 30 календарных дней до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bookmarkEnd w:id="42"/>
    <w:p w:rsidR="00DC6075" w:rsidRDefault="00DC6075">
      <w: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DC6075" w:rsidRDefault="00DC6075">
      <w:bookmarkStart w:id="43" w:name="sub_36"/>
      <w:r>
        <w:t>36.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DC6075" w:rsidRDefault="00DC6075">
      <w:bookmarkStart w:id="44" w:name="sub_37"/>
      <w:bookmarkEnd w:id="43"/>
      <w:r>
        <w:t>37.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вправе пройти ее в течение 6 месяцев после завершения государственной итоговой аттестации.</w:t>
      </w:r>
    </w:p>
    <w:bookmarkEnd w:id="44"/>
    <w:p w:rsidR="00DC6075" w:rsidRDefault="00DC6075">
      <w:r>
        <w:t>Обучающийся должен представить в организацию документ, подтверждающий причину его отсутствия.</w:t>
      </w:r>
    </w:p>
    <w:p w:rsidR="00DC6075" w:rsidRDefault="00DC6075">
      <w: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DC6075" w:rsidRDefault="00DC6075">
      <w:bookmarkStart w:id="45" w:name="sub_38"/>
      <w:r>
        <w:t xml:space="preserve">38.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w:anchor="sub_37" w:history="1">
        <w:r>
          <w:rPr>
            <w:rStyle w:val="a4"/>
            <w:rFonts w:cs="Times New Roman CYR"/>
          </w:rPr>
          <w:t>пункте 37</w:t>
        </w:r>
      </w:hyperlink>
      <w:r>
        <w:t xml:space="preserve"> настоящего Порядка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DC6075" w:rsidRDefault="00DC6075">
      <w:bookmarkStart w:id="46" w:name="sub_39"/>
      <w:bookmarkEnd w:id="45"/>
      <w:r>
        <w:t>39. 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bookmarkEnd w:id="46"/>
    <w:p w:rsidR="00DC6075" w:rsidRDefault="00DC6075">
      <w:r>
        <w:t>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DC6075" w:rsidRDefault="00DC6075">
      <w:bookmarkStart w:id="47" w:name="sub_40"/>
      <w:r>
        <w:t>40. 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DC6075" w:rsidRDefault="00DC6075">
      <w:bookmarkStart w:id="48" w:name="sub_41"/>
      <w:bookmarkEnd w:id="47"/>
      <w:r>
        <w:t>41. При проведении государственной итоговой аттестации обеспечивается соблюдение следующих общих требований:</w:t>
      </w:r>
    </w:p>
    <w:bookmarkEnd w:id="48"/>
    <w:p w:rsidR="00DC6075" w:rsidRDefault="00DC6075">
      <w: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DC6075" w:rsidRDefault="00DC6075">
      <w:r>
        <w:t xml:space="preserve">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w:t>
      </w:r>
      <w:r>
        <w:lastRenderedPageBreak/>
        <w:t>экзаменационной комиссии);</w:t>
      </w:r>
    </w:p>
    <w:p w:rsidR="00DC6075" w:rsidRDefault="00DC6075">
      <w: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DC6075" w:rsidRDefault="00DC6075">
      <w: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DC6075" w:rsidRDefault="00DC6075">
      <w:bookmarkStart w:id="49" w:name="sub_42"/>
      <w:r>
        <w:t>42.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DC6075" w:rsidRDefault="00DC6075">
      <w:bookmarkStart w:id="50" w:name="sub_43"/>
      <w:bookmarkEnd w:id="49"/>
      <w:r>
        <w:t>43.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bookmarkEnd w:id="50"/>
    <w:p w:rsidR="00DC6075" w:rsidRDefault="00DC6075">
      <w:r>
        <w:t>продолжительность сдачи государственного экзамена, проводимого в письменной форме, - не более чем на 90 минут;</w:t>
      </w:r>
    </w:p>
    <w:p w:rsidR="00DC6075" w:rsidRDefault="00DC6075">
      <w:r>
        <w:t>продолжительность подготовки обучающегося к ответу на государственном экзамене, проводимом в устной форме, - не более чем на 20 минут;</w:t>
      </w:r>
    </w:p>
    <w:p w:rsidR="00DC6075" w:rsidRDefault="00DC6075">
      <w:r>
        <w:t>продолжительность выступления обучающегося при представлении научного доклада об основных результатах подготовленной научно-квалификационной работы (диссертации) на соискание ученой степени кандидата наук (далее - научно-квалификационная работа) - не более чем на 15 минут.</w:t>
      </w:r>
    </w:p>
    <w:p w:rsidR="00DC6075" w:rsidRDefault="00DC6075">
      <w:bookmarkStart w:id="51" w:name="sub_44"/>
      <w:r>
        <w:t>44. 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DC6075" w:rsidRDefault="00DC6075">
      <w:bookmarkStart w:id="52" w:name="sub_441"/>
      <w:bookmarkEnd w:id="51"/>
      <w:r>
        <w:t>а) для слепых:</w:t>
      </w:r>
    </w:p>
    <w:bookmarkEnd w:id="52"/>
    <w:p w:rsidR="00DC6075" w:rsidRDefault="00DC6075">
      <w: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DC6075" w:rsidRDefault="00DC6075">
      <w: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DC6075" w:rsidRDefault="00DC6075">
      <w: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DC6075" w:rsidRDefault="00DC6075">
      <w:bookmarkStart w:id="53" w:name="sub_442"/>
      <w:r>
        <w:t>б) для слабовидящих:</w:t>
      </w:r>
    </w:p>
    <w:bookmarkEnd w:id="53"/>
    <w:p w:rsidR="00DC6075" w:rsidRDefault="00DC6075">
      <w:r>
        <w:t>задания и иные материалы для сдачи государственного аттестационного испытания оформляются увеличенным шрифтом;</w:t>
      </w:r>
    </w:p>
    <w:p w:rsidR="00DC6075" w:rsidRDefault="00DC6075">
      <w:r>
        <w:t>обеспечивается индивидуальное равномерное освещение не менее 300 люкс;</w:t>
      </w:r>
    </w:p>
    <w:p w:rsidR="00DC6075" w:rsidRDefault="00DC6075">
      <w: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DC6075" w:rsidRDefault="00DC6075">
      <w:bookmarkStart w:id="54" w:name="sub_443"/>
      <w:r>
        <w:t>в)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bookmarkEnd w:id="54"/>
    <w:p w:rsidR="00DC6075" w:rsidRDefault="00DC6075">
      <w:r>
        <w:t>по их желанию государственные аттестационные испытания проводятся в письменной форме;</w:t>
      </w:r>
    </w:p>
    <w:p w:rsidR="00DC6075" w:rsidRDefault="00DC6075">
      <w:bookmarkStart w:id="55" w:name="sub_444"/>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bookmarkEnd w:id="55"/>
    <w:p w:rsidR="00DC6075" w:rsidRDefault="00DC6075">
      <w:r>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DC6075" w:rsidRDefault="00DC6075">
      <w:r>
        <w:lastRenderedPageBreak/>
        <w:t>по их желанию государственные аттестационные испытания проводятся в устной форме.</w:t>
      </w:r>
    </w:p>
    <w:p w:rsidR="00DC6075" w:rsidRDefault="00DC6075">
      <w:bookmarkStart w:id="56" w:name="sub_45"/>
      <w:r>
        <w:t>45.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bookmarkEnd w:id="56"/>
    <w:p w:rsidR="00DC6075" w:rsidRDefault="00DC6075">
      <w: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DC6075" w:rsidRDefault="00DC6075">
      <w:bookmarkStart w:id="57" w:name="sub_46"/>
      <w:r>
        <w:t>46. По результатам государственных аттестационных испытаний обучающийся имеет право на апелляцию.</w:t>
      </w:r>
    </w:p>
    <w:p w:rsidR="00DC6075" w:rsidRDefault="00DC6075">
      <w:bookmarkStart w:id="58" w:name="sub_47"/>
      <w:bookmarkEnd w:id="57"/>
      <w:r>
        <w:t>47. Обучающийся имеет право подать в апелляционную комиссию в письменном виде апелляцию о нарушении, по его мнению, установленной процедуры проведения государственного аттестационного испытания и (или) несогласия с результатами государственного экзамена.</w:t>
      </w:r>
    </w:p>
    <w:p w:rsidR="00DC6075" w:rsidRDefault="00DC6075">
      <w:bookmarkStart w:id="59" w:name="sub_48"/>
      <w:bookmarkEnd w:id="58"/>
      <w:r>
        <w:t>48.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DC6075" w:rsidRDefault="00DC6075">
      <w:bookmarkStart w:id="60" w:name="sub_49"/>
      <w:bookmarkEnd w:id="59"/>
      <w:r>
        <w:t>49.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p w:rsidR="00DC6075" w:rsidRDefault="00DC6075">
      <w:bookmarkStart w:id="61" w:name="sub_50"/>
      <w:bookmarkEnd w:id="60"/>
      <w:r>
        <w:t>50. 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bookmarkEnd w:id="61"/>
    <w:p w:rsidR="00DC6075" w:rsidRDefault="00DC6075">
      <w: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DC6075" w:rsidRDefault="00DC6075">
      <w:bookmarkStart w:id="62" w:name="sub_51"/>
      <w:r>
        <w:t>51.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DC6075" w:rsidRDefault="00DC6075">
      <w:bookmarkStart w:id="63" w:name="sub_512"/>
      <w:bookmarkEnd w:id="62"/>
      <w: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DC6075" w:rsidRDefault="00DC6075">
      <w:bookmarkStart w:id="64" w:name="sub_513"/>
      <w:bookmarkEnd w:id="63"/>
      <w: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DC6075" w:rsidRDefault="00DC6075">
      <w:bookmarkStart w:id="65" w:name="sub_514"/>
      <w:bookmarkEnd w:id="64"/>
      <w:r>
        <w:t xml:space="preserve">В случае, указанном в </w:t>
      </w:r>
      <w:hyperlink w:anchor="sub_513" w:history="1">
        <w:r>
          <w:rPr>
            <w:rStyle w:val="a4"/>
            <w:rFonts w:cs="Times New Roman CYR"/>
          </w:rPr>
          <w:t>абзаце третьем</w:t>
        </w:r>
      </w:hyperlink>
      <w:r>
        <w:t xml:space="preserve">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образовательной организацией.</w:t>
      </w:r>
    </w:p>
    <w:p w:rsidR="00DC6075" w:rsidRDefault="00DC6075">
      <w:bookmarkStart w:id="66" w:name="sub_52"/>
      <w:bookmarkEnd w:id="65"/>
      <w:r>
        <w:t>52. При рассмотрении апелляции о несогласии с результатами государственного экзамена апелляционная комиссия выносит одно из следующих решений:</w:t>
      </w:r>
    </w:p>
    <w:bookmarkEnd w:id="66"/>
    <w:p w:rsidR="00DC6075" w:rsidRDefault="00DC6075">
      <w:r>
        <w:lastRenderedPageBreak/>
        <w:t>об отклонении апелляции и сохранении результата государственного экзамена;</w:t>
      </w:r>
    </w:p>
    <w:p w:rsidR="00DC6075" w:rsidRDefault="00DC6075">
      <w:r>
        <w:t>об удовлетворении апелляции и выставлении иного результата государственного экзамена.</w:t>
      </w:r>
    </w:p>
    <w:p w:rsidR="00DC6075" w:rsidRDefault="00DC6075">
      <w: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DC6075" w:rsidRDefault="00DC6075">
      <w:bookmarkStart w:id="67" w:name="sub_53"/>
      <w:r>
        <w:t>53. Решение апелляционной комиссии является окончательным и пересмотру не подлежит.</w:t>
      </w:r>
    </w:p>
    <w:p w:rsidR="00DC6075" w:rsidRDefault="00DC6075">
      <w:bookmarkStart w:id="68" w:name="sub_54"/>
      <w:bookmarkEnd w:id="67"/>
      <w:r>
        <w:t>54.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со стандартом.</w:t>
      </w:r>
    </w:p>
    <w:p w:rsidR="00DC6075" w:rsidRDefault="00DC6075">
      <w:bookmarkStart w:id="69" w:name="sub_55"/>
      <w:bookmarkEnd w:id="68"/>
      <w:r>
        <w:t>55. Апелляция на повторное проведение государственного аттестационного испытания не принимается.</w:t>
      </w:r>
    </w:p>
    <w:bookmarkEnd w:id="69"/>
    <w:p w:rsidR="00DC6075" w:rsidRDefault="00DC6075"/>
    <w:p w:rsidR="00DC6075" w:rsidRDefault="00DC6075">
      <w:pPr>
        <w:ind w:firstLine="0"/>
      </w:pPr>
      <w:r>
        <w:t>_____________________________</w:t>
      </w:r>
    </w:p>
    <w:p w:rsidR="00DC6075" w:rsidRDefault="00DC6075">
      <w:bookmarkStart w:id="70" w:name="sub_1001"/>
      <w:r>
        <w:t xml:space="preserve">*(1) </w:t>
      </w:r>
      <w:hyperlink r:id="rId29" w:history="1">
        <w:r>
          <w:rPr>
            <w:rStyle w:val="a4"/>
            <w:rFonts w:cs="Times New Roman CYR"/>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б, ст. 562, 566; N 19, ст. 2289; N 22, ст. 2769; N 23, ст. 2933; N 26, ст. 3388; N 30, ст. 4217, 4257, 4263; 2015, N 1, ст. 42, 53,  72; N 14, ст. 2008; N 27, ст. 3951,3989; N 29, ст. 4339, 4364; N 51, ст. 7241; 2016, N 1, ст. 8, 9, 24, 78; Официальный интернет-портал правовой информации </w:t>
      </w:r>
      <w:hyperlink r:id="rId30" w:history="1">
        <w:r>
          <w:rPr>
            <w:rStyle w:val="a4"/>
            <w:rFonts w:cs="Times New Roman CYR"/>
          </w:rPr>
          <w:t>http://www.pravo.gov.ru</w:t>
        </w:r>
      </w:hyperlink>
      <w:r>
        <w:t>, 2 марта 2016 г.).</w:t>
      </w:r>
    </w:p>
    <w:p w:rsidR="00DC6075" w:rsidRDefault="00DC6075">
      <w:bookmarkStart w:id="71" w:name="sub_1002"/>
      <w:bookmarkEnd w:id="70"/>
      <w:r>
        <w:t xml:space="preserve">*(2) </w:t>
      </w:r>
      <w:hyperlink r:id="rId31" w:history="1">
        <w:r>
          <w:rPr>
            <w:rStyle w:val="a4"/>
            <w:rFonts w:cs="Times New Roman CYR"/>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32" w:history="1">
        <w:r>
          <w:rPr>
            <w:rStyle w:val="a4"/>
            <w:rFonts w:cs="Times New Roman CYR"/>
          </w:rPr>
          <w:t>http://www.pravo.gov.ru</w:t>
        </w:r>
      </w:hyperlink>
      <w:r>
        <w:t>, 2 марта 2016 г.).</w:t>
      </w:r>
    </w:p>
    <w:p w:rsidR="00DC6075" w:rsidRDefault="00DC6075">
      <w:bookmarkStart w:id="72" w:name="sub_1003"/>
      <w:bookmarkEnd w:id="71"/>
      <w:r>
        <w:t xml:space="preserve">*(3) </w:t>
      </w:r>
      <w:hyperlink r:id="rId33" w:history="1">
        <w:r>
          <w:rPr>
            <w:rStyle w:val="a4"/>
            <w:rFonts w:cs="Times New Roman CYR"/>
          </w:rPr>
          <w:t>Пункт 3 части 12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34" w:history="1">
        <w:r>
          <w:rPr>
            <w:rStyle w:val="a4"/>
            <w:rFonts w:cs="Times New Roman CYR"/>
          </w:rPr>
          <w:t>http://www.pravo.gov.ru</w:t>
        </w:r>
      </w:hyperlink>
      <w:r>
        <w:t>, 2 марта 2016 г.).</w:t>
      </w:r>
    </w:p>
    <w:p w:rsidR="00DC6075" w:rsidRDefault="00DC6075">
      <w:bookmarkStart w:id="73" w:name="sub_1004"/>
      <w:bookmarkEnd w:id="72"/>
      <w:r>
        <w:t xml:space="preserve">*(4) </w:t>
      </w:r>
      <w:hyperlink r:id="rId35" w:history="1">
        <w:r>
          <w:rPr>
            <w:rStyle w:val="a4"/>
            <w:rFonts w:cs="Times New Roman CYR"/>
          </w:rPr>
          <w:t>Часть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36" w:history="1">
        <w:r>
          <w:rPr>
            <w:rStyle w:val="a4"/>
            <w:rFonts w:cs="Times New Roman CYR"/>
          </w:rPr>
          <w:t>http://www.pravo.gov.ru</w:t>
        </w:r>
      </w:hyperlink>
      <w:r>
        <w:t>, 2 марта 2016 г.).</w:t>
      </w:r>
    </w:p>
    <w:p w:rsidR="00DC6075" w:rsidRDefault="00DC6075">
      <w:bookmarkStart w:id="74" w:name="sub_1005"/>
      <w:bookmarkEnd w:id="73"/>
      <w:r>
        <w:t xml:space="preserve">*(5) </w:t>
      </w:r>
      <w:hyperlink r:id="rId37" w:history="1">
        <w:r>
          <w:rPr>
            <w:rStyle w:val="a4"/>
            <w:rFonts w:cs="Times New Roman CYR"/>
          </w:rPr>
          <w:t>Часть 8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38" w:history="1">
        <w:r>
          <w:rPr>
            <w:rStyle w:val="a4"/>
            <w:rFonts w:cs="Times New Roman CYR"/>
          </w:rPr>
          <w:t>http://www.pravo.gov.ru</w:t>
        </w:r>
      </w:hyperlink>
      <w:r>
        <w:t>, 2 марта 2016 г.).</w:t>
      </w:r>
    </w:p>
    <w:p w:rsidR="00DC6075" w:rsidRDefault="00DC6075">
      <w:bookmarkStart w:id="75" w:name="sub_1006"/>
      <w:bookmarkEnd w:id="74"/>
      <w:r>
        <w:t xml:space="preserve">*(6) </w:t>
      </w:r>
      <w:hyperlink r:id="rId39" w:history="1">
        <w:r>
          <w:rPr>
            <w:rStyle w:val="a4"/>
            <w:rFonts w:cs="Times New Roman CYR"/>
          </w:rPr>
          <w:t>Часть 4 статьи 60</w:t>
        </w:r>
      </w:hyperlink>
      <w:r>
        <w:t xml:space="preserve"> Федерального закона от 29 декабря 2012 г. N 273-ФЗ "Об образовании </w:t>
      </w:r>
      <w:r>
        <w:lastRenderedPageBreak/>
        <w:t xml:space="preserve">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40" w:history="1">
        <w:r>
          <w:rPr>
            <w:rStyle w:val="a4"/>
            <w:rFonts w:cs="Times New Roman CYR"/>
          </w:rPr>
          <w:t>http://www.pravo.gov.ru</w:t>
        </w:r>
      </w:hyperlink>
      <w:r>
        <w:t>, 2 марта 2016 г.).</w:t>
      </w:r>
    </w:p>
    <w:p w:rsidR="00DC6075" w:rsidRDefault="00DC6075">
      <w:bookmarkStart w:id="76" w:name="sub_1007"/>
      <w:bookmarkEnd w:id="75"/>
      <w:r>
        <w:t xml:space="preserve">*(7) </w:t>
      </w:r>
      <w:hyperlink r:id="rId41" w:history="1">
        <w:r>
          <w:rPr>
            <w:rStyle w:val="a4"/>
            <w:rFonts w:cs="Times New Roman CYR"/>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2013, N 19, ст. 2311; N 27, ст. 3477; 2015, N 10, ст. 1422).</w:t>
      </w:r>
    </w:p>
    <w:p w:rsidR="00DC6075" w:rsidRDefault="00DC6075">
      <w:bookmarkStart w:id="77" w:name="sub_1008"/>
      <w:bookmarkEnd w:id="76"/>
      <w:r>
        <w:t xml:space="preserve">*(8) </w:t>
      </w:r>
      <w:hyperlink r:id="rId42" w:history="1">
        <w:r>
          <w:rPr>
            <w:rStyle w:val="a4"/>
            <w:rFonts w:cs="Times New Roman CYR"/>
          </w:rPr>
          <w:t>Часть 5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2933; N 26, ст. 3388; N 30, ст. 4217, 4257, 4263; 2015, N 1, ст. 42, 53, 72; N 14, ст. 2008; N 27, ст. 3951, 3989; N 29, ст. 4339, 4364; N 51, ст. 7241; 2016, N 1, ст. 8,  9, 24, 78; Официальный интернет-портал правовой информации </w:t>
      </w:r>
      <w:hyperlink r:id="rId43" w:history="1">
        <w:r>
          <w:rPr>
            <w:rStyle w:val="a4"/>
            <w:rFonts w:cs="Times New Roman CYR"/>
          </w:rPr>
          <w:t>http://www.pravo.gov.ru</w:t>
        </w:r>
      </w:hyperlink>
      <w:r>
        <w:t>, 2 марта 2016 г.).</w:t>
      </w:r>
    </w:p>
    <w:bookmarkEnd w:id="77"/>
    <w:p w:rsidR="00DC6075" w:rsidRDefault="00DC6075"/>
    <w:sectPr w:rsidR="00DC6075">
      <w:headerReference w:type="default" r:id="rId44"/>
      <w:footerReference w:type="default" r:id="rId4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75" w:rsidRDefault="00DC6075">
      <w:r>
        <w:separator/>
      </w:r>
    </w:p>
  </w:endnote>
  <w:endnote w:type="continuationSeparator" w:id="0">
    <w:p w:rsidR="00DC6075" w:rsidRDefault="00DC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C6075">
      <w:tblPrEx>
        <w:tblCellMar>
          <w:top w:w="0" w:type="dxa"/>
          <w:left w:w="0" w:type="dxa"/>
          <w:bottom w:w="0" w:type="dxa"/>
          <w:right w:w="0" w:type="dxa"/>
        </w:tblCellMar>
      </w:tblPrEx>
      <w:tc>
        <w:tcPr>
          <w:tcW w:w="3433" w:type="dxa"/>
          <w:tcBorders>
            <w:top w:val="nil"/>
            <w:left w:val="nil"/>
            <w:bottom w:val="nil"/>
            <w:right w:val="nil"/>
          </w:tcBorders>
        </w:tcPr>
        <w:p w:rsidR="00DC6075" w:rsidRDefault="00DC607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DC6075" w:rsidRDefault="00DC607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C6075" w:rsidRDefault="00DC60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32E7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32E7E">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75" w:rsidRDefault="00DC6075">
      <w:r>
        <w:separator/>
      </w:r>
    </w:p>
  </w:footnote>
  <w:footnote w:type="continuationSeparator" w:id="0">
    <w:p w:rsidR="00DC6075" w:rsidRDefault="00DC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075" w:rsidRDefault="00DC6075">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18 марта 2016 г. N 227 "Об утверждении Порядка проведения…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7E"/>
    <w:rsid w:val="00C32E7E"/>
    <w:rsid w:val="00DC6075"/>
    <w:rsid w:val="00FE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B72A45-1A89-4F93-B270-DF8B6AE9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449388/151" TargetMode="External"/><Relationship Id="rId13" Type="http://schemas.openxmlformats.org/officeDocument/2006/relationships/hyperlink" Target="http://ivo.garant.ru/document/redirect/5632903/0" TargetMode="External"/><Relationship Id="rId18" Type="http://schemas.openxmlformats.org/officeDocument/2006/relationships/hyperlink" Target="http://ivo.garant.ru/document/redirect/70203778/2" TargetMode="External"/><Relationship Id="rId26" Type="http://schemas.openxmlformats.org/officeDocument/2006/relationships/hyperlink" Target="http://ivo.garant.ru/document/redirect/73852384/1232" TargetMode="External"/><Relationship Id="rId39" Type="http://schemas.openxmlformats.org/officeDocument/2006/relationships/hyperlink" Target="http://ivo.garant.ru/document/redirect/70291362/108721" TargetMode="External"/><Relationship Id="rId3" Type="http://schemas.openxmlformats.org/officeDocument/2006/relationships/settings" Target="settings.xml"/><Relationship Id="rId21" Type="http://schemas.openxmlformats.org/officeDocument/2006/relationships/hyperlink" Target="http://ivo.garant.ru/document/redirect/196580/45" TargetMode="External"/><Relationship Id="rId34" Type="http://schemas.openxmlformats.org/officeDocument/2006/relationships/hyperlink" Target="http://ivo.garant.ru/document/redirect/990941/3145" TargetMode="External"/><Relationship Id="rId42" Type="http://schemas.openxmlformats.org/officeDocument/2006/relationships/hyperlink" Target="http://ivo.garant.ru/document/redirect/70291362/108722" TargetMode="External"/><Relationship Id="rId47" Type="http://schemas.openxmlformats.org/officeDocument/2006/relationships/theme" Target="theme/theme1.xml"/><Relationship Id="rId7" Type="http://schemas.openxmlformats.org/officeDocument/2006/relationships/hyperlink" Target="http://ivo.garant.ru/document/redirect/400170320/10457" TargetMode="External"/><Relationship Id="rId12" Type="http://schemas.openxmlformats.org/officeDocument/2006/relationships/hyperlink" Target="http://ivo.garant.ru/document/redirect/70392898/0" TargetMode="External"/><Relationship Id="rId17" Type="http://schemas.openxmlformats.org/officeDocument/2006/relationships/hyperlink" Target="http://ivo.garant.ru/document/redirect/70516072/1000" TargetMode="External"/><Relationship Id="rId25" Type="http://schemas.openxmlformats.org/officeDocument/2006/relationships/hyperlink" Target="http://ivo.garant.ru/document/redirect/77695296/231" TargetMode="External"/><Relationship Id="rId33" Type="http://schemas.openxmlformats.org/officeDocument/2006/relationships/hyperlink" Target="http://ivo.garant.ru/document/redirect/70291362/108705" TargetMode="External"/><Relationship Id="rId38" Type="http://schemas.openxmlformats.org/officeDocument/2006/relationships/hyperlink" Target="http://ivo.garant.ru/document/redirect/990941/314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redirect/77695296/18" TargetMode="External"/><Relationship Id="rId20" Type="http://schemas.openxmlformats.org/officeDocument/2006/relationships/hyperlink" Target="http://ivo.garant.ru/document/redirect/70461216/0" TargetMode="External"/><Relationship Id="rId29" Type="http://schemas.openxmlformats.org/officeDocument/2006/relationships/hyperlink" Target="http://ivo.garant.ru/document/redirect/70291362/108693" TargetMode="External"/><Relationship Id="rId41" Type="http://schemas.openxmlformats.org/officeDocument/2006/relationships/hyperlink" Target="http://ivo.garant.ru/document/redirect/196580/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392898/15236" TargetMode="External"/><Relationship Id="rId24" Type="http://schemas.openxmlformats.org/officeDocument/2006/relationships/hyperlink" Target="http://ivo.garant.ru/document/redirect/73852384/1231" TargetMode="External"/><Relationship Id="rId32" Type="http://schemas.openxmlformats.org/officeDocument/2006/relationships/hyperlink" Target="http://ivo.garant.ru/document/redirect/990941/3145" TargetMode="External"/><Relationship Id="rId37" Type="http://schemas.openxmlformats.org/officeDocument/2006/relationships/hyperlink" Target="http://ivo.garant.ru/document/redirect/70291362/108697" TargetMode="External"/><Relationship Id="rId40" Type="http://schemas.openxmlformats.org/officeDocument/2006/relationships/hyperlink" Target="http://ivo.garant.ru/document/redirect/990941/3145"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vo.garant.ru/document/redirect/73852384/1021" TargetMode="External"/><Relationship Id="rId23" Type="http://schemas.openxmlformats.org/officeDocument/2006/relationships/hyperlink" Target="http://ivo.garant.ru/document/redirect/77695296/20" TargetMode="External"/><Relationship Id="rId28" Type="http://schemas.openxmlformats.org/officeDocument/2006/relationships/hyperlink" Target="http://ivo.garant.ru/document/redirect/77695296/233" TargetMode="External"/><Relationship Id="rId36" Type="http://schemas.openxmlformats.org/officeDocument/2006/relationships/hyperlink" Target="http://ivo.garant.ru/document/redirect/990941/3145" TargetMode="External"/><Relationship Id="rId10" Type="http://schemas.openxmlformats.org/officeDocument/2006/relationships/hyperlink" Target="http://ivo.garant.ru/document/redirect/990941/3145" TargetMode="External"/><Relationship Id="rId19" Type="http://schemas.openxmlformats.org/officeDocument/2006/relationships/hyperlink" Target="http://ivo.garant.ru/document/redirect/70461216/23" TargetMode="External"/><Relationship Id="rId31" Type="http://schemas.openxmlformats.org/officeDocument/2006/relationships/hyperlink" Target="http://ivo.garant.ru/document/redirect/70291362/10869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vo.garant.ru/document/redirect/70291362/108694" TargetMode="External"/><Relationship Id="rId14" Type="http://schemas.openxmlformats.org/officeDocument/2006/relationships/hyperlink" Target="http://ivo.garant.ru/document/redirect/10102673/3" TargetMode="External"/><Relationship Id="rId22" Type="http://schemas.openxmlformats.org/officeDocument/2006/relationships/hyperlink" Target="http://ivo.garant.ru/document/redirect/73852384/1022" TargetMode="External"/><Relationship Id="rId27" Type="http://schemas.openxmlformats.org/officeDocument/2006/relationships/hyperlink" Target="http://ivo.garant.ru/document/redirect/73852384/1233" TargetMode="External"/><Relationship Id="rId30" Type="http://schemas.openxmlformats.org/officeDocument/2006/relationships/hyperlink" Target="http://ivo.garant.ru/document/redirect/990941/3145" TargetMode="External"/><Relationship Id="rId35" Type="http://schemas.openxmlformats.org/officeDocument/2006/relationships/hyperlink" Target="http://ivo.garant.ru/document/redirect/70291362/108434" TargetMode="External"/><Relationship Id="rId43" Type="http://schemas.openxmlformats.org/officeDocument/2006/relationships/hyperlink" Target="http://ivo.garant.ru/document/redirect/990941/3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Alexander</cp:lastModifiedBy>
  <cp:revision>2</cp:revision>
  <dcterms:created xsi:type="dcterms:W3CDTF">2022-02-14T14:28:00Z</dcterms:created>
  <dcterms:modified xsi:type="dcterms:W3CDTF">2022-02-14T14:28:00Z</dcterms:modified>
</cp:coreProperties>
</file>